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54B" w:rsidRDefault="0001554B" w:rsidP="0001554B">
      <w:pPr>
        <w:spacing w:line="315" w:lineRule="atLeast"/>
        <w:rPr>
          <w:rFonts w:ascii="Arial" w:eastAsia="Times New Roman" w:hAnsi="Arial" w:cs="Arial"/>
          <w:color w:val="737373"/>
          <w:sz w:val="21"/>
          <w:szCs w:val="21"/>
        </w:rPr>
      </w:pPr>
      <w:r>
        <w:rPr>
          <w:noProof/>
        </w:rPr>
        <w:drawing>
          <wp:inline distT="0" distB="0" distL="0" distR="0" wp14:anchorId="293B19B7" wp14:editId="378EC21E">
            <wp:extent cx="583882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38825" cy="590550"/>
                    </a:xfrm>
                    <a:prstGeom prst="rect">
                      <a:avLst/>
                    </a:prstGeom>
                  </pic:spPr>
                </pic:pic>
              </a:graphicData>
            </a:graphic>
          </wp:inline>
        </w:drawing>
      </w:r>
      <w:bookmarkStart w:id="0" w:name="_GoBack"/>
      <w:bookmarkEnd w:id="0"/>
    </w:p>
    <w:p w:rsidR="0001554B" w:rsidRDefault="0001554B" w:rsidP="0001554B">
      <w:pPr>
        <w:spacing w:line="315" w:lineRule="atLeast"/>
        <w:rPr>
          <w:rFonts w:ascii="Arial" w:eastAsia="Times New Roman" w:hAnsi="Arial" w:cs="Arial"/>
          <w:color w:val="737373"/>
          <w:sz w:val="18"/>
          <w:szCs w:val="18"/>
        </w:rPr>
      </w:pPr>
      <w:r>
        <w:rPr>
          <w:rFonts w:ascii="Arial" w:eastAsia="Times New Roman" w:hAnsi="Arial" w:cs="Arial"/>
          <w:color w:val="737373"/>
          <w:sz w:val="21"/>
          <w:szCs w:val="21"/>
        </w:rPr>
        <w:t xml:space="preserve">In </w:t>
      </w:r>
      <w:r>
        <w:rPr>
          <w:rStyle w:val="Emphasis"/>
          <w:rFonts w:ascii="Arial" w:eastAsia="Times New Roman" w:hAnsi="Arial" w:cs="Arial"/>
          <w:color w:val="737373"/>
          <w:sz w:val="21"/>
          <w:szCs w:val="21"/>
        </w:rPr>
        <w:t>Single-Family Seller/Servicer Guide</w:t>
      </w:r>
      <w:r>
        <w:rPr>
          <w:rFonts w:ascii="Arial" w:eastAsia="Times New Roman" w:hAnsi="Arial" w:cs="Arial"/>
          <w:color w:val="737373"/>
          <w:sz w:val="21"/>
          <w:szCs w:val="21"/>
        </w:rPr>
        <w:t xml:space="preserve"> (Guide) </w:t>
      </w:r>
      <w:hyperlink r:id="rId5" w:tgtFrame="_blank" w:history="1">
        <w:r>
          <w:rPr>
            <w:rStyle w:val="Hyperlink"/>
            <w:rFonts w:ascii="Arial" w:eastAsia="Times New Roman" w:hAnsi="Arial" w:cs="Arial"/>
            <w:sz w:val="21"/>
            <w:szCs w:val="21"/>
            <w:u w:val="single"/>
          </w:rPr>
          <w:t xml:space="preserve">Bulletin </w:t>
        </w:r>
      </w:hyperlink>
      <w:hyperlink r:id="rId6" w:tgtFrame="_blank" w:history="1">
        <w:r>
          <w:rPr>
            <w:rStyle w:val="Hyperlink"/>
            <w:rFonts w:ascii="Arial" w:eastAsia="Times New Roman" w:hAnsi="Arial" w:cs="Arial"/>
            <w:sz w:val="21"/>
            <w:szCs w:val="21"/>
            <w:u w:val="single"/>
          </w:rPr>
          <w:t>2024-7</w:t>
        </w:r>
      </w:hyperlink>
      <w:r>
        <w:rPr>
          <w:rFonts w:ascii="Arial" w:eastAsia="Times New Roman" w:hAnsi="Arial" w:cs="Arial"/>
          <w:color w:val="737373"/>
          <w:sz w:val="18"/>
          <w:szCs w:val="18"/>
        </w:rPr>
        <w:t xml:space="preserve"> </w:t>
      </w:r>
      <w:r>
        <w:rPr>
          <w:rFonts w:ascii="Arial" w:eastAsia="Times New Roman" w:hAnsi="Arial" w:cs="Arial"/>
          <w:color w:val="737373"/>
          <w:sz w:val="21"/>
          <w:szCs w:val="21"/>
        </w:rPr>
        <w:t>, Freddie Mac announced that when a flood insurance policy on a mortgaged premises shows both a full risk premium and a discounted premium, the full risk premium plus any fees and surcharges must be used to calculate the housing expense-to-income and debt payment-to-income ratios.</w:t>
      </w:r>
    </w:p>
    <w:p w:rsidR="0001554B" w:rsidRDefault="0001554B" w:rsidP="0001554B">
      <w:pPr>
        <w:spacing w:line="270" w:lineRule="atLeast"/>
        <w:rPr>
          <w:rFonts w:ascii="Arial" w:eastAsia="Times New Roman" w:hAnsi="Arial" w:cs="Arial"/>
          <w:color w:val="737373"/>
          <w:sz w:val="18"/>
          <w:szCs w:val="18"/>
        </w:rPr>
      </w:pPr>
    </w:p>
    <w:p w:rsidR="0001554B" w:rsidRDefault="0001554B" w:rsidP="0001554B">
      <w:pPr>
        <w:spacing w:line="315" w:lineRule="atLeast"/>
        <w:rPr>
          <w:rFonts w:ascii="Arial" w:eastAsia="Times New Roman" w:hAnsi="Arial" w:cs="Arial"/>
          <w:color w:val="737373"/>
          <w:sz w:val="18"/>
          <w:szCs w:val="18"/>
        </w:rPr>
      </w:pPr>
      <w:r>
        <w:rPr>
          <w:rFonts w:ascii="Arial" w:eastAsia="Times New Roman" w:hAnsi="Arial" w:cs="Arial"/>
          <w:color w:val="737373"/>
          <w:sz w:val="21"/>
          <w:szCs w:val="21"/>
        </w:rPr>
        <w:t>To give Sellers additional time to implement this change, we’re extending the effective date from note dates on or after September 5, 2024, to note dates on or after April 1, 2025.</w:t>
      </w:r>
    </w:p>
    <w:p w:rsidR="0001554B" w:rsidRDefault="0001554B" w:rsidP="0001554B">
      <w:pPr>
        <w:spacing w:line="270" w:lineRule="atLeast"/>
        <w:rPr>
          <w:rFonts w:ascii="Arial" w:eastAsia="Times New Roman" w:hAnsi="Arial" w:cs="Arial"/>
          <w:color w:val="737373"/>
          <w:sz w:val="18"/>
          <w:szCs w:val="18"/>
        </w:rPr>
      </w:pPr>
    </w:p>
    <w:p w:rsidR="00BD348A" w:rsidRDefault="0001554B" w:rsidP="0001554B">
      <w:r>
        <w:rPr>
          <w:rFonts w:ascii="Arial" w:eastAsia="Times New Roman" w:hAnsi="Arial" w:cs="Arial"/>
          <w:color w:val="737373"/>
          <w:sz w:val="21"/>
          <w:szCs w:val="21"/>
        </w:rPr>
        <w:t>The Guide will be updated with this change in the September 4 Guide Bulletin.</w:t>
      </w:r>
    </w:p>
    <w:sectPr w:rsidR="00BD3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70"/>
    <w:rsid w:val="0001554B"/>
    <w:rsid w:val="00A33670"/>
    <w:rsid w:val="00BD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668"/>
  <w15:chartTrackingRefBased/>
  <w15:docId w15:val="{C9426261-C02D-46FD-B4AE-A70107AE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5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554B"/>
    <w:rPr>
      <w:strike w:val="0"/>
      <w:dstrike w:val="0"/>
      <w:color w:val="00A6E2"/>
      <w:u w:val="none"/>
      <w:effect w:val="none"/>
      <w:bdr w:val="none" w:sz="0" w:space="0" w:color="auto" w:frame="1"/>
    </w:rPr>
  </w:style>
  <w:style w:type="character" w:styleId="Emphasis">
    <w:name w:val="Emphasis"/>
    <w:basedOn w:val="DefaultParagraphFont"/>
    <w:uiPriority w:val="20"/>
    <w:qFormat/>
    <w:rsid w:val="000155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2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infofreddiemac.com/e/er?s=325135053&amp;lid=19594&amp;elqTrackId=97FADA7ED70CB3A972843A50F58C8CEE&amp;elq=adb6d5f221934e1284d6fea212fe28e9&amp;elqaid=15208&amp;elqat=1" TargetMode="External"/><Relationship Id="rId5" Type="http://schemas.openxmlformats.org/officeDocument/2006/relationships/hyperlink" Target="http://app.infofreddiemac.com/e/er?s=325135053&amp;lid=20173&amp;elqTrackId=59E94FB3C65E51A6726815243D011D75&amp;elq=adb6d5f221934e1284d6fea212fe28e9&amp;elqaid=15208&amp;elqat=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836</Characters>
  <Application>Microsoft Office Word</Application>
  <DocSecurity>0</DocSecurity>
  <Lines>6</Lines>
  <Paragraphs>1</Paragraphs>
  <ScaleCrop>false</ScaleCrop>
  <Company>Tena Companies, Inc.</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McNeil</dc:creator>
  <cp:keywords/>
  <dc:description/>
  <cp:lastModifiedBy>Thomas McNeil</cp:lastModifiedBy>
  <cp:revision>2</cp:revision>
  <dcterms:created xsi:type="dcterms:W3CDTF">2024-08-22T18:04:00Z</dcterms:created>
  <dcterms:modified xsi:type="dcterms:W3CDTF">2024-08-22T18:05:00Z</dcterms:modified>
</cp:coreProperties>
</file>