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5E" w:rsidRDefault="00AD215E" w:rsidP="00AD215E">
      <w:pPr>
        <w:pStyle w:val="Heading1"/>
        <w:spacing w:before="0" w:beforeAutospacing="0" w:after="300" w:afterAutospacing="0"/>
        <w:jc w:val="right"/>
        <w:rPr>
          <w:rFonts w:ascii="Arial" w:eastAsia="Times New Roman" w:hAnsi="Arial" w:cs="Arial"/>
          <w:color w:val="16254B"/>
          <w:sz w:val="36"/>
          <w:szCs w:val="36"/>
        </w:rPr>
      </w:pPr>
      <w:r>
        <w:rPr>
          <w:rFonts w:ascii="Arial" w:eastAsia="Times New Roman" w:hAnsi="Arial" w:cs="Arial"/>
          <w:color w:val="16254B"/>
          <w:sz w:val="36"/>
          <w:szCs w:val="36"/>
        </w:rPr>
        <w:t>SFH Guaranteed Origination</w:t>
      </w:r>
    </w:p>
    <w:p w:rsidR="00AD215E" w:rsidRDefault="00AD215E" w:rsidP="00AD215E">
      <w:pPr>
        <w:pStyle w:val="Heading3"/>
        <w:spacing w:before="0" w:beforeAutospacing="0" w:after="225" w:afterAutospacing="0"/>
        <w:rPr>
          <w:rFonts w:ascii="Arial" w:eastAsia="Times New Roman" w:hAnsi="Arial" w:cs="Arial"/>
          <w:color w:val="035840"/>
        </w:rPr>
      </w:pPr>
      <w:r>
        <w:rPr>
          <w:rFonts w:ascii="Arial" w:eastAsia="Times New Roman" w:hAnsi="Arial" w:cs="Arial"/>
          <w:color w:val="035840"/>
        </w:rPr>
        <w:t>June 25, 2024</w:t>
      </w:r>
    </w:p>
    <w:p w:rsidR="00AD215E" w:rsidRDefault="00AD215E" w:rsidP="00AD215E">
      <w:pPr>
        <w:pStyle w:val="Heading2"/>
        <w:spacing w:before="0" w:beforeAutospacing="0" w:after="270" w:afterAutospacing="0"/>
        <w:rPr>
          <w:rFonts w:ascii="Arial" w:eastAsia="Times New Roman" w:hAnsi="Arial" w:cs="Arial"/>
          <w:color w:val="295A8F"/>
          <w:sz w:val="33"/>
          <w:szCs w:val="33"/>
        </w:rPr>
      </w:pPr>
      <w:r>
        <w:rPr>
          <w:rFonts w:ascii="Arial" w:eastAsia="Times New Roman" w:hAnsi="Arial" w:cs="Arial"/>
          <w:color w:val="295A8F"/>
          <w:sz w:val="33"/>
          <w:szCs w:val="33"/>
        </w:rPr>
        <w:t>Advance Notice: Revisions to HB-1-3555, Chapter 11</w:t>
      </w:r>
    </w:p>
    <w:p w:rsidR="00AD215E" w:rsidRDefault="00AD215E" w:rsidP="00AD215E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The Single Family Housing Guaranteed Loan Program (SFHGLP) is pleased to announce upcoming revisions to technical Handbook 1-3555, Chapter 11, Ratio Analysis.  These changes are expected to be implemented on August 5, 2024.  Below are the highlighted revisions:</w:t>
      </w:r>
    </w:p>
    <w:p w:rsidR="00AD215E" w:rsidRDefault="00AD215E" w:rsidP="00AD215E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Chapter 11 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Emphasis"/>
          <w:rFonts w:ascii="Arial" w:hAnsi="Arial" w:cs="Arial"/>
          <w:color w:val="000000"/>
          <w:sz w:val="21"/>
          <w:szCs w:val="21"/>
        </w:rPr>
        <w:t>Ratio Analysis</w:t>
      </w:r>
    </w:p>
    <w:p w:rsidR="00AD215E" w:rsidRDefault="00AD215E" w:rsidP="00AD215E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Increased the maximum PITI Ratio to 34% (applicable to non-GUS Accept files). </w:t>
      </w:r>
    </w:p>
    <w:p w:rsidR="00AD215E" w:rsidRDefault="00AD215E" w:rsidP="00AD21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Provided additional clarification on business debts reported on the applicant’s personal credit report. </w:t>
      </w:r>
    </w:p>
    <w:p w:rsidR="00AD215E" w:rsidRDefault="00AD215E" w:rsidP="00AD215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Clarified that waivers are not permitted to increase the PITI ratio above 34% for purchase transactions (applicable to non-GUS Accept files). </w:t>
      </w:r>
    </w:p>
    <w:p w:rsidR="00AD215E" w:rsidRDefault="00AD215E" w:rsidP="00AD215E">
      <w:pPr>
        <w:numPr>
          <w:ilvl w:val="0"/>
          <w:numId w:val="1"/>
        </w:numPr>
        <w:spacing w:before="100" w:beforeAutospacing="1" w:after="22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Added additional compensating factors which may be considered to support approval of a ratio wavier. </w:t>
      </w:r>
    </w:p>
    <w:p w:rsidR="00941135" w:rsidRDefault="00941135">
      <w:bookmarkStart w:id="0" w:name="_GoBack"/>
      <w:bookmarkEnd w:id="0"/>
    </w:p>
    <w:sectPr w:rsidR="0094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4CB1"/>
    <w:multiLevelType w:val="multilevel"/>
    <w:tmpl w:val="CDA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B4"/>
    <w:rsid w:val="006575B4"/>
    <w:rsid w:val="00941135"/>
    <w:rsid w:val="00A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9C8DC-3AC0-4EFA-9616-C6BE174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1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D21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D21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5E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15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D215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D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Tena Companies, Inc.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McNeil</dc:creator>
  <cp:keywords/>
  <dc:description/>
  <cp:lastModifiedBy>Thomas McNeil</cp:lastModifiedBy>
  <cp:revision>2</cp:revision>
  <dcterms:created xsi:type="dcterms:W3CDTF">2024-06-25T21:01:00Z</dcterms:created>
  <dcterms:modified xsi:type="dcterms:W3CDTF">2024-06-25T21:01:00Z</dcterms:modified>
</cp:coreProperties>
</file>